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ADF0F6" w14:textId="77777777" w:rsidR="00C72ACD" w:rsidRDefault="00000000" w:rsidP="00EF54E9">
      <w:pPr>
        <w:widowControl w:val="0"/>
        <w:spacing w:before="71"/>
        <w:ind w:left="709" w:right="5490"/>
        <w:rPr>
          <w:rFonts w:ascii="Franklin Gothic Demi" w:hAnsi="Franklin Gothic Demi" w:cs="Franklin Gothic Demi"/>
          <w:sz w:val="18"/>
          <w:szCs w:val="18"/>
        </w:rPr>
      </w:pPr>
      <w:r>
        <w:rPr>
          <w:noProof/>
        </w:rPr>
        <mc:AlternateContent>
          <mc:Choice Requires="wpg">
            <w:drawing>
              <wp:anchor distT="0" distB="0" distL="0" distR="0" simplePos="0" relativeHeight="2" behindDoc="1" locked="0" layoutInCell="0" allowOverlap="1" wp14:anchorId="3E2000B8" wp14:editId="6CC865F0">
                <wp:simplePos x="0" y="0"/>
                <wp:positionH relativeFrom="page">
                  <wp:posOffset>508000</wp:posOffset>
                </wp:positionH>
                <wp:positionV relativeFrom="page">
                  <wp:posOffset>356870</wp:posOffset>
                </wp:positionV>
                <wp:extent cx="456565" cy="342900"/>
                <wp:effectExtent l="0" t="0" r="0" b="0"/>
                <wp:wrapNone/>
                <wp:docPr id="1" name="Group 2"/>
                <wp:cNvGraphicFramePr/>
                <a:graphic xmlns:a="http://schemas.openxmlformats.org/drawingml/2006/main">
                  <a:graphicData uri="http://schemas.microsoft.com/office/word/2010/wordprocessingGroup">
                    <wpg:wgp>
                      <wpg:cNvGrpSpPr/>
                      <wpg:grpSpPr>
                        <a:xfrm>
                          <a:off x="0" y="0"/>
                          <a:ext cx="456480" cy="343080"/>
                          <a:chOff x="0" y="0"/>
                          <a:chExt cx="456480" cy="343080"/>
                        </a:xfrm>
                      </wpg:grpSpPr>
                      <wps:wsp>
                        <wps:cNvPr id="2" name="Rectangle 3"/>
                        <wps:cNvSpPr/>
                        <wps:spPr>
                          <a:xfrm>
                            <a:off x="1440" y="1440"/>
                            <a:ext cx="455400" cy="341640"/>
                          </a:xfrm>
                          <a:prstGeom prst="rect">
                            <a:avLst/>
                          </a:prstGeom>
                          <a:noFill/>
                          <a:ln w="0">
                            <a:noFill/>
                          </a:ln>
                        </wps:spPr>
                        <wps:style>
                          <a:lnRef idx="0">
                            <a:scrgbClr r="0" g="0" b="0"/>
                          </a:lnRef>
                          <a:fillRef idx="0">
                            <a:scrgbClr r="0" g="0" b="0"/>
                          </a:fillRef>
                          <a:effectRef idx="0">
                            <a:scrgbClr r="0" g="0" b="0"/>
                          </a:effectRef>
                          <a:fontRef idx="minor"/>
                        </wps:style>
                        <wps:txbx>
                          <w:txbxContent>
                            <w:p w14:paraId="743EDB1D" w14:textId="77777777" w:rsidR="00C72ACD" w:rsidRDefault="00000000">
                              <w:pPr>
                                <w:spacing w:line="540" w:lineRule="atLeast"/>
                              </w:pPr>
                              <w:r>
                                <w:rPr>
                                  <w:noProof/>
                                </w:rPr>
                                <w:drawing>
                                  <wp:inline distT="0" distB="0" distL="0" distR="0" wp14:anchorId="25E01B38" wp14:editId="2180EE17">
                                    <wp:extent cx="453390" cy="341630"/>
                                    <wp:effectExtent l="0" t="0" r="0" b="0"/>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noChangeArrowheads="1"/>
                                            </pic:cNvPicPr>
                                          </pic:nvPicPr>
                                          <pic:blipFill>
                                            <a:blip r:embed="rId5"/>
                                            <a:stretch>
                                              <a:fillRect/>
                                            </a:stretch>
                                          </pic:blipFill>
                                          <pic:spPr bwMode="auto">
                                            <a:xfrm>
                                              <a:off x="0" y="0"/>
                                              <a:ext cx="453390" cy="341630"/>
                                            </a:xfrm>
                                            <a:prstGeom prst="rect">
                                              <a:avLst/>
                                            </a:prstGeom>
                                          </pic:spPr>
                                        </pic:pic>
                                      </a:graphicData>
                                    </a:graphic>
                                  </wp:inline>
                                </w:drawing>
                              </w:r>
                            </w:p>
                            <w:p w14:paraId="2A68E0C5" w14:textId="77777777" w:rsidR="00C72ACD" w:rsidRDefault="00C72ACD">
                              <w:pPr>
                                <w:widowControl w:val="0"/>
                              </w:pPr>
                            </w:p>
                          </w:txbxContent>
                        </wps:txbx>
                        <wps:bodyPr lIns="0" tIns="0" rIns="0" bIns="0" anchor="t">
                          <a:noAutofit/>
                        </wps:bodyPr>
                      </wps:wsp>
                      <wps:wsp>
                        <wps:cNvPr id="4" name="Rectangle 4"/>
                        <wps:cNvSpPr/>
                        <wps:spPr>
                          <a:xfrm>
                            <a:off x="0" y="0"/>
                            <a:ext cx="453240" cy="340200"/>
                          </a:xfrm>
                          <a:prstGeom prst="rect">
                            <a:avLst/>
                          </a:prstGeom>
                          <a:noFill/>
                          <a:ln w="762">
                            <a:solidFill>
                              <a:srgbClr val="808080"/>
                            </a:solidFill>
                            <a:miter/>
                          </a:ln>
                        </wps:spPr>
                        <wps:style>
                          <a:lnRef idx="0">
                            <a:scrgbClr r="0" g="0" b="0"/>
                          </a:lnRef>
                          <a:fillRef idx="0">
                            <a:scrgbClr r="0" g="0" b="0"/>
                          </a:fillRef>
                          <a:effectRef idx="0">
                            <a:scrgbClr r="0" g="0" b="0"/>
                          </a:effectRef>
                          <a:fontRef idx="minor"/>
                        </wps:style>
                        <wps:bodyPr/>
                      </wps:wsp>
                    </wpg:wgp>
                  </a:graphicData>
                </a:graphic>
              </wp:anchor>
            </w:drawing>
          </mc:Choice>
          <mc:Fallback>
            <w:pict>
              <v:group w14:anchorId="3E2000B8" id="Group 2" o:spid="_x0000_s1026" style="position:absolute;left:0;text-align:left;margin-left:40pt;margin-top:28.1pt;width:35.95pt;height:27pt;z-index:-503316478;mso-wrap-distance-left:0;mso-wrap-distance-right:0;mso-position-horizontal-relative:page;mso-position-vertical-relative:page" coordsize="456480,3430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" o:allowincell="f">
                <v:rect id="Rectangle 3" o:spid="_x0000_s1027" style="position:absolute;left:1440;top:1440;width:455400;height:3416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" filled="f" stroked="f" strokeweight="0">
                  <v:textbox inset="0,0,0,0">
                    <w:txbxContent>
                      <w:p w14:paraId="743EDB1D" w14:textId="77777777" w:rsidR="00C72ACD" w:rsidRDefault="00000000">
                        <w:pPr>
                          <w:spacing w:line="540" w:lineRule="atLeast"/>
                        </w:pPr>
                        <w:r>
                          <w:rPr>
                            <w:noProof/>
                          </w:rPr>
                          <w:drawing>
                            <wp:inline distT="0" distB="0" distL="0" distR="0" wp14:anchorId="25E01B38" wp14:editId="2180EE17">
                              <wp:extent cx="453390" cy="341630"/>
                              <wp:effectExtent l="0" t="0" r="0" b="0"/>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noChangeArrowheads="1"/>
                                      </pic:cNvPicPr>
                                    </pic:nvPicPr>
                                    <pic:blipFill>
                                      <a:blip r:embed="rId5"/>
                                      <a:stretch>
                                        <a:fillRect/>
                                      </a:stretch>
                                    </pic:blipFill>
                                    <pic:spPr bwMode="auto">
                                      <a:xfrm>
                                        <a:off x="0" y="0"/>
                                        <a:ext cx="453390" cy="341630"/>
                                      </a:xfrm>
                                      <a:prstGeom prst="rect">
                                        <a:avLst/>
                                      </a:prstGeom>
                                    </pic:spPr>
                                  </pic:pic>
                                </a:graphicData>
                              </a:graphic>
                            </wp:inline>
                          </w:drawing>
                        </w:r>
                      </w:p>
                      <w:p w14:paraId="2A68E0C5" w14:textId="77777777" w:rsidR="00C72ACD" w:rsidRDefault="00C72ACD">
                        <w:pPr>
                          <w:widowControl w:val="0"/>
                        </w:pPr>
                      </w:p>
                    </w:txbxContent>
                  </v:textbox>
                </v:rect>
                <v:rect id="Rectangle 4" o:spid="_x0000_s1028" style="position:absolute;width:453240;height:340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" filled="f" strokecolor="gray" strokeweight=".06pt"/>
                <w10:wrap anchorx="page" anchory="page"/>
              </v:group>
            </w:pict>
          </mc:Fallback>
        </mc:AlternateContent>
      </w:r>
      <w:r>
        <w:rPr>
          <w:rFonts w:ascii="Franklin Gothic Demi" w:hAnsi="Franklin Gothic Demi" w:cs="Franklin Gothic Demi"/>
          <w:sz w:val="18"/>
          <w:szCs w:val="18"/>
        </w:rPr>
        <w:t>MA</w:t>
      </w:r>
      <w:r>
        <w:rPr>
          <w:rFonts w:ascii="Franklin Gothic Demi" w:hAnsi="Franklin Gothic Demi" w:cs="Franklin Gothic Demi"/>
          <w:spacing w:val="1"/>
          <w:sz w:val="18"/>
          <w:szCs w:val="18"/>
        </w:rPr>
        <w:t>K</w:t>
      </w:r>
      <w:r>
        <w:rPr>
          <w:rFonts w:ascii="Franklin Gothic Demi" w:hAnsi="Franklin Gothic Demi" w:cs="Franklin Gothic Demi"/>
          <w:spacing w:val="-1"/>
          <w:sz w:val="18"/>
          <w:szCs w:val="18"/>
        </w:rPr>
        <w:t>İ</w:t>
      </w:r>
      <w:r>
        <w:rPr>
          <w:rFonts w:ascii="Franklin Gothic Demi" w:hAnsi="Franklin Gothic Demi" w:cs="Franklin Gothic Demi"/>
          <w:sz w:val="18"/>
          <w:szCs w:val="18"/>
        </w:rPr>
        <w:t>NA</w:t>
      </w:r>
      <w:r>
        <w:rPr>
          <w:rFonts w:ascii="Franklin Gothic Demi" w:hAnsi="Franklin Gothic Demi" w:cs="Franklin Gothic Demi"/>
          <w:spacing w:val="1"/>
          <w:sz w:val="18"/>
          <w:szCs w:val="18"/>
        </w:rPr>
        <w:t xml:space="preserve"> </w:t>
      </w:r>
      <w:r>
        <w:rPr>
          <w:rFonts w:ascii="Franklin Gothic Demi" w:hAnsi="Franklin Gothic Demi" w:cs="Franklin Gothic Demi"/>
          <w:sz w:val="18"/>
          <w:szCs w:val="18"/>
        </w:rPr>
        <w:t>MÜHEN</w:t>
      </w:r>
      <w:r>
        <w:rPr>
          <w:rFonts w:ascii="Franklin Gothic Demi" w:hAnsi="Franklin Gothic Demi" w:cs="Franklin Gothic Demi"/>
          <w:spacing w:val="-1"/>
          <w:sz w:val="18"/>
          <w:szCs w:val="18"/>
        </w:rPr>
        <w:t>Dİ</w:t>
      </w:r>
      <w:r>
        <w:rPr>
          <w:rFonts w:ascii="Franklin Gothic Demi" w:hAnsi="Franklin Gothic Demi" w:cs="Franklin Gothic Demi"/>
          <w:sz w:val="18"/>
          <w:szCs w:val="18"/>
        </w:rPr>
        <w:t>S</w:t>
      </w:r>
      <w:r>
        <w:rPr>
          <w:rFonts w:ascii="Franklin Gothic Demi" w:hAnsi="Franklin Gothic Demi" w:cs="Franklin Gothic Demi"/>
          <w:spacing w:val="1"/>
          <w:sz w:val="18"/>
          <w:szCs w:val="18"/>
        </w:rPr>
        <w:t>L</w:t>
      </w:r>
      <w:r>
        <w:rPr>
          <w:rFonts w:ascii="Franklin Gothic Demi" w:hAnsi="Franklin Gothic Demi" w:cs="Franklin Gothic Demi"/>
          <w:sz w:val="18"/>
          <w:szCs w:val="18"/>
        </w:rPr>
        <w:t>İĞİ</w:t>
      </w:r>
      <w:r>
        <w:rPr>
          <w:rFonts w:ascii="Franklin Gothic Demi" w:hAnsi="Franklin Gothic Demi" w:cs="Franklin Gothic Demi"/>
          <w:spacing w:val="-2"/>
          <w:sz w:val="18"/>
          <w:szCs w:val="18"/>
        </w:rPr>
        <w:t xml:space="preserve"> </w:t>
      </w:r>
      <w:r>
        <w:rPr>
          <w:rFonts w:ascii="Franklin Gothic Demi" w:hAnsi="Franklin Gothic Demi" w:cs="Franklin Gothic Demi"/>
          <w:sz w:val="18"/>
          <w:szCs w:val="18"/>
        </w:rPr>
        <w:t>BÖL</w:t>
      </w:r>
      <w:r>
        <w:rPr>
          <w:rFonts w:ascii="Franklin Gothic Demi" w:hAnsi="Franklin Gothic Demi" w:cs="Franklin Gothic Demi"/>
          <w:spacing w:val="-1"/>
          <w:sz w:val="18"/>
          <w:szCs w:val="18"/>
        </w:rPr>
        <w:t>Ü</w:t>
      </w:r>
      <w:r>
        <w:rPr>
          <w:rFonts w:ascii="Franklin Gothic Demi" w:hAnsi="Franklin Gothic Demi" w:cs="Franklin Gothic Demi"/>
          <w:sz w:val="18"/>
          <w:szCs w:val="18"/>
        </w:rPr>
        <w:t>MÜ ME</w:t>
      </w:r>
      <w:r>
        <w:rPr>
          <w:rFonts w:ascii="Franklin Gothic Demi" w:hAnsi="Franklin Gothic Demi" w:cs="Franklin Gothic Demi"/>
          <w:spacing w:val="-2"/>
          <w:sz w:val="18"/>
          <w:szCs w:val="18"/>
        </w:rPr>
        <w:t xml:space="preserve"> </w:t>
      </w:r>
      <w:r>
        <w:rPr>
          <w:rFonts w:ascii="Franklin Gothic Demi" w:hAnsi="Franklin Gothic Demi" w:cs="Franklin Gothic Demi"/>
          <w:sz w:val="18"/>
          <w:szCs w:val="18"/>
        </w:rPr>
        <w:t>492 ENGINEERING PROJECT</w:t>
      </w:r>
    </w:p>
    <w:p w14:paraId="4401FD16" w14:textId="77777777" w:rsidR="00C72ACD" w:rsidRDefault="00C72ACD">
      <w:pPr>
        <w:widowControl w:val="0"/>
        <w:spacing w:before="3" w:line="220" w:lineRule="exact"/>
        <w:rPr>
          <w:rFonts w:ascii="Franklin Gothic Demi" w:hAnsi="Franklin Gothic Demi" w:cs="Franklin Gothic Demi"/>
          <w:sz w:val="22"/>
          <w:szCs w:val="22"/>
        </w:rPr>
      </w:pPr>
    </w:p>
    <w:p w14:paraId="1B57083D" w14:textId="77777777" w:rsidR="00C72ACD" w:rsidRDefault="00000000">
      <w:pPr>
        <w:widowControl w:val="0"/>
        <w:spacing w:line="272" w:lineRule="exact"/>
        <w:jc w:val="center"/>
      </w:pPr>
      <w:r>
        <w:rPr>
          <w:rFonts w:ascii="Franklin Gothic Demi" w:hAnsi="Franklin Gothic Demi" w:cs="Franklin Gothic Demi"/>
          <w:u w:val="single"/>
        </w:rPr>
        <w:t>PROJECT ANNOUNC</w:t>
      </w:r>
      <w:r>
        <w:rPr>
          <w:rFonts w:ascii="Franklin Gothic Demi" w:hAnsi="Franklin Gothic Demi" w:cs="Franklin Gothic Demi"/>
          <w:spacing w:val="1"/>
          <w:u w:val="single"/>
        </w:rPr>
        <w:t>E</w:t>
      </w:r>
      <w:r>
        <w:rPr>
          <w:rFonts w:ascii="Franklin Gothic Demi" w:hAnsi="Franklin Gothic Demi" w:cs="Franklin Gothic Demi"/>
          <w:u w:val="single"/>
        </w:rPr>
        <w:t>MENT</w:t>
      </w:r>
      <w:r>
        <w:rPr>
          <w:rFonts w:ascii="Franklin Gothic Demi" w:hAnsi="Franklin Gothic Demi" w:cs="Franklin Gothic Demi"/>
        </w:rPr>
        <w:t xml:space="preserve"> </w:t>
      </w:r>
    </w:p>
    <w:p w14:paraId="74E3DE6E" w14:textId="77777777" w:rsidR="00C72ACD" w:rsidRDefault="00000000">
      <w:pPr>
        <w:widowControl w:val="0"/>
        <w:spacing w:line="272" w:lineRule="exact"/>
        <w:jc w:val="center"/>
        <w:rPr>
          <w:rFonts w:ascii="Franklin Gothic Demi" w:hAnsi="Franklin Gothic Demi" w:cs="Franklin Gothic Demi"/>
        </w:rPr>
      </w:pPr>
      <w:r>
        <w:rPr>
          <w:rFonts w:ascii="Franklin Gothic Demi" w:hAnsi="Franklin Gothic Demi" w:cs="Franklin Gothic Demi"/>
          <w:spacing w:val="-7"/>
        </w:rPr>
        <w:t xml:space="preserve">Spring </w:t>
      </w:r>
      <w:r>
        <w:rPr>
          <w:rFonts w:ascii="Franklin Gothic Demi" w:hAnsi="Franklin Gothic Demi" w:cs="Franklin Gothic Demi"/>
        </w:rPr>
        <w:t>2025</w:t>
      </w:r>
    </w:p>
    <w:p w14:paraId="64D90CBB" w14:textId="77777777" w:rsidR="00C72ACD" w:rsidRDefault="00C72ACD">
      <w:pPr>
        <w:widowControl w:val="0"/>
        <w:spacing w:before="6" w:line="130" w:lineRule="exact"/>
        <w:rPr>
          <w:rFonts w:ascii="Franklin Gothic Demi" w:hAnsi="Franklin Gothic Demi" w:cs="Franklin Gothic Demi"/>
          <w:sz w:val="13"/>
          <w:szCs w:val="13"/>
        </w:rPr>
      </w:pPr>
    </w:p>
    <w:p w14:paraId="75CA5BFD" w14:textId="332B10B0" w:rsidR="00C72ACD" w:rsidRDefault="00000000">
      <w:pPr>
        <w:tabs>
          <w:tab w:val="left" w:pos="2293"/>
        </w:tabs>
        <w:ind w:left="630" w:hanging="660"/>
        <w:rPr>
          <w:caps/>
        </w:rPr>
      </w:pPr>
      <w:r>
        <w:rPr>
          <w:b/>
          <w:bCs/>
        </w:rPr>
        <w:t xml:space="preserve">Title: </w:t>
      </w:r>
      <w:r w:rsidR="00B0378B" w:rsidRPr="00B0378B">
        <w:t>MATERIAL SELECTION AND PERFORMANCE EVALUATION FOR CONDENSING ECONOMIZERS IN INDUSTRIAL BOILERS</w:t>
      </w:r>
    </w:p>
    <w:p w14:paraId="6F37F4FD" w14:textId="77777777" w:rsidR="00C72ACD" w:rsidRDefault="00C72ACD">
      <w:pPr>
        <w:tabs>
          <w:tab w:val="left" w:pos="1483"/>
        </w:tabs>
        <w:ind w:hanging="15"/>
        <w:rPr>
          <w:b/>
        </w:rPr>
      </w:pPr>
    </w:p>
    <w:p w14:paraId="50BE8652" w14:textId="136ED5F8" w:rsidR="00C72ACD" w:rsidRDefault="00000000">
      <w:pPr>
        <w:tabs>
          <w:tab w:val="left" w:pos="1483"/>
        </w:tabs>
        <w:ind w:hanging="15"/>
        <w:rPr>
          <w:caps/>
        </w:rPr>
      </w:pPr>
      <w:r>
        <w:rPr>
          <w:b/>
        </w:rPr>
        <w:t xml:space="preserve">Position Ref: </w:t>
      </w:r>
      <w:r w:rsidR="003A27A0">
        <w:t>OCN_S2601</w:t>
      </w:r>
    </w:p>
    <w:p w14:paraId="3833CDBC" w14:textId="77777777" w:rsidR="00C72ACD" w:rsidRDefault="00C72ACD">
      <w:pPr>
        <w:tabs>
          <w:tab w:val="left" w:pos="1483"/>
        </w:tabs>
        <w:ind w:hanging="15"/>
      </w:pPr>
    </w:p>
    <w:p w14:paraId="366865E3" w14:textId="532FEA4B" w:rsidR="00C72ACD" w:rsidRDefault="00000000">
      <w:pPr>
        <w:tabs>
          <w:tab w:val="left" w:pos="1483"/>
        </w:tabs>
        <w:ind w:hanging="15"/>
        <w:rPr>
          <w:caps/>
        </w:rPr>
      </w:pPr>
      <w:r>
        <w:rPr>
          <w:b/>
        </w:rPr>
        <w:t xml:space="preserve">Type: </w:t>
      </w:r>
      <w:r>
        <w:t>Individual</w:t>
      </w:r>
    </w:p>
    <w:p w14:paraId="5E197EF8" w14:textId="26E5F267" w:rsidR="00C72ACD" w:rsidRDefault="00000000">
      <w:pPr>
        <w:tabs>
          <w:tab w:val="left" w:pos="1483"/>
        </w:tabs>
        <w:ind w:hanging="15"/>
        <w:rPr>
          <w:b/>
          <w:bCs/>
        </w:rPr>
      </w:pPr>
      <w:r>
        <w:rPr>
          <w:b/>
          <w:bCs/>
        </w:rPr>
        <w:t xml:space="preserve">Status: </w:t>
      </w:r>
      <w:r>
        <w:t>New</w:t>
      </w:r>
    </w:p>
    <w:p w14:paraId="1328D134" w14:textId="7A68A771" w:rsidR="00C72ACD" w:rsidRDefault="00000000">
      <w:pPr>
        <w:tabs>
          <w:tab w:val="left" w:pos="1483"/>
        </w:tabs>
        <w:ind w:hanging="15"/>
        <w:rPr>
          <w:caps/>
        </w:rPr>
      </w:pPr>
      <w:r>
        <w:rPr>
          <w:b/>
        </w:rPr>
        <w:t>Seats: 1</w:t>
      </w:r>
      <w:r w:rsidR="0043135D">
        <w:rPr>
          <w:b/>
        </w:rPr>
        <w:t xml:space="preserve"> </w:t>
      </w:r>
      <w:r w:rsidR="0043135D" w:rsidRPr="0043135D">
        <w:rPr>
          <w:bCs/>
        </w:rPr>
        <w:t>stu</w:t>
      </w:r>
      <w:r>
        <w:t xml:space="preserve">dent – </w:t>
      </w:r>
      <w:r w:rsidR="0043135D">
        <w:t>(Barı</w:t>
      </w:r>
      <w:r w:rsidR="00020A0B">
        <w:t>ş</w:t>
      </w:r>
      <w:r w:rsidR="0043135D">
        <w:t xml:space="preserve"> Karabacak</w:t>
      </w:r>
      <w:r>
        <w:t>)</w:t>
      </w:r>
    </w:p>
    <w:p w14:paraId="1FEE7AF4" w14:textId="77777777" w:rsidR="00C72ACD" w:rsidRDefault="00C72ACD">
      <w:pPr>
        <w:tabs>
          <w:tab w:val="left" w:pos="1483"/>
        </w:tabs>
        <w:ind w:hanging="15"/>
        <w:rPr>
          <w:b/>
          <w:caps/>
        </w:rPr>
      </w:pPr>
    </w:p>
    <w:p w14:paraId="1AEFABEC" w14:textId="77777777" w:rsidR="00C72ACD" w:rsidRDefault="00000000">
      <w:pPr>
        <w:pStyle w:val="BlockText"/>
        <w:spacing w:before="0"/>
        <w:ind w:left="0" w:right="0"/>
        <w:jc w:val="left"/>
        <w:rPr>
          <w:b/>
          <w:bCs/>
        </w:rPr>
      </w:pPr>
      <w:r>
        <w:rPr>
          <w:b/>
          <w:bCs/>
        </w:rPr>
        <w:t>Project Description:</w:t>
      </w:r>
    </w:p>
    <w:p w14:paraId="64C2BDD1" w14:textId="77777777" w:rsidR="0043135D" w:rsidRPr="0043135D" w:rsidRDefault="0043135D" w:rsidP="0043135D">
      <w:pPr>
        <w:widowControl w:val="0"/>
        <w:ind w:right="58"/>
        <w:jc w:val="both"/>
        <w:rPr>
          <w:bCs/>
        </w:rPr>
      </w:pPr>
      <w:r w:rsidRPr="0043135D">
        <w:rPr>
          <w:bCs/>
        </w:rPr>
        <w:t>In industrial boiler systems, waste heat recovery from flue gases is commonly achieved using economizers. While conventional single-stage economizers are widely used, condensing economizers offer significantly higher thermal efficiency by recovering latent heat from water vapor condensation in the flue gas. Despite their performance advantage, the widespread use of condensing economizers is limited due to high initial investment costs and severe corrosion risks caused by acidic condensates.</w:t>
      </w:r>
    </w:p>
    <w:p w14:paraId="71CFE94A" w14:textId="77777777" w:rsidR="0043135D" w:rsidRPr="0043135D" w:rsidRDefault="0043135D" w:rsidP="0043135D">
      <w:pPr>
        <w:widowControl w:val="0"/>
        <w:ind w:right="58"/>
        <w:jc w:val="both"/>
        <w:rPr>
          <w:bCs/>
        </w:rPr>
      </w:pPr>
      <w:r w:rsidRPr="0043135D">
        <w:rPr>
          <w:bCs/>
        </w:rPr>
        <w:t>This project aims to investigate the material selection problem for condensing economizers, focusing on identifying suitable materials that balance thermal performance, corrosion resistance, manufacturability, and cost. Various candidate materials such as carbon steels, stainless steels, aluminum alloys, coated metals, and alternative materials will be evaluated.</w:t>
      </w:r>
    </w:p>
    <w:p w14:paraId="4E31EE9C" w14:textId="374417E9" w:rsidR="00C72ACD" w:rsidRDefault="0043135D" w:rsidP="0043135D">
      <w:pPr>
        <w:widowControl w:val="0"/>
        <w:ind w:right="58"/>
        <w:jc w:val="both"/>
        <w:rPr>
          <w:bCs/>
        </w:rPr>
      </w:pPr>
      <w:r w:rsidRPr="0043135D">
        <w:rPr>
          <w:bCs/>
        </w:rPr>
        <w:t>The study will be conducted primarily as a computer-based engineering analysis, supported by literature data, analytical heat transfer calculations, and optional numerical simulations. The final outcome will be a comparative assessment and engineering recommendation for material selection in condensing economizer applications.</w:t>
      </w:r>
    </w:p>
    <w:p w14:paraId="6C9BC530" w14:textId="77777777" w:rsidR="00C72ACD" w:rsidRDefault="00C72ACD">
      <w:pPr>
        <w:widowControl w:val="0"/>
        <w:spacing w:before="18" w:line="260" w:lineRule="exact"/>
        <w:rPr>
          <w:sz w:val="26"/>
          <w:szCs w:val="26"/>
        </w:rPr>
      </w:pPr>
    </w:p>
    <w:p w14:paraId="2EE8BF92" w14:textId="77777777" w:rsidR="00C72ACD" w:rsidRDefault="00000000">
      <w:pPr>
        <w:widowControl w:val="0"/>
        <w:ind w:right="-20"/>
      </w:pPr>
      <w:r>
        <w:rPr>
          <w:b/>
          <w:bCs/>
        </w:rPr>
        <w:t>Work Description:</w:t>
      </w:r>
    </w:p>
    <w:p w14:paraId="7F6ED125" w14:textId="2E8FDCC7" w:rsidR="0043135D" w:rsidRDefault="0043135D" w:rsidP="0043135D">
      <w:pPr>
        <w:pStyle w:val="ListParagraph"/>
        <w:widowControl w:val="0"/>
        <w:numPr>
          <w:ilvl w:val="0"/>
          <w:numId w:val="5"/>
        </w:numPr>
        <w:ind w:left="360" w:right="-23"/>
        <w:contextualSpacing w:val="0"/>
      </w:pPr>
      <w:r>
        <w:t>Literature review on economizers, condensing heat recovery, and flue gas corrosion</w:t>
      </w:r>
    </w:p>
    <w:p w14:paraId="595A8156" w14:textId="428762F3" w:rsidR="0043135D" w:rsidRDefault="0043135D" w:rsidP="0043135D">
      <w:pPr>
        <w:pStyle w:val="ListParagraph"/>
        <w:widowControl w:val="0"/>
        <w:numPr>
          <w:ilvl w:val="0"/>
          <w:numId w:val="5"/>
        </w:numPr>
        <w:ind w:left="360" w:right="-23"/>
        <w:contextualSpacing w:val="0"/>
      </w:pPr>
      <w:r>
        <w:t>Definition of operating conditions for industrial boiler flue gases</w:t>
      </w:r>
    </w:p>
    <w:p w14:paraId="002094B1" w14:textId="0B89C256" w:rsidR="0043135D" w:rsidRDefault="0043135D" w:rsidP="0043135D">
      <w:pPr>
        <w:pStyle w:val="ListParagraph"/>
        <w:widowControl w:val="0"/>
        <w:numPr>
          <w:ilvl w:val="0"/>
          <w:numId w:val="5"/>
        </w:numPr>
        <w:ind w:left="360" w:right="-23"/>
        <w:contextualSpacing w:val="0"/>
      </w:pPr>
      <w:r>
        <w:t>Identification of candidate materials for condensing economizer applications</w:t>
      </w:r>
    </w:p>
    <w:p w14:paraId="7CF4F29C" w14:textId="45A881D5" w:rsidR="0043135D" w:rsidRDefault="0043135D" w:rsidP="0043135D">
      <w:pPr>
        <w:pStyle w:val="ListParagraph"/>
        <w:widowControl w:val="0"/>
        <w:numPr>
          <w:ilvl w:val="0"/>
          <w:numId w:val="5"/>
        </w:numPr>
        <w:ind w:left="360" w:right="-23"/>
        <w:contextualSpacing w:val="0"/>
      </w:pPr>
      <w:r>
        <w:t>Comparative evaluation of materials based on:</w:t>
      </w:r>
    </w:p>
    <w:p w14:paraId="5C0C403C" w14:textId="77777777" w:rsidR="0043135D" w:rsidRDefault="0043135D" w:rsidP="0043135D">
      <w:pPr>
        <w:pStyle w:val="ListParagraph"/>
        <w:widowControl w:val="0"/>
        <w:numPr>
          <w:ilvl w:val="1"/>
          <w:numId w:val="5"/>
        </w:numPr>
        <w:ind w:right="-23"/>
        <w:contextualSpacing w:val="0"/>
      </w:pPr>
      <w:r>
        <w:t>Thermal conductivity</w:t>
      </w:r>
    </w:p>
    <w:p w14:paraId="5D0925DF" w14:textId="77777777" w:rsidR="0043135D" w:rsidRDefault="0043135D" w:rsidP="0043135D">
      <w:pPr>
        <w:pStyle w:val="ListParagraph"/>
        <w:widowControl w:val="0"/>
        <w:numPr>
          <w:ilvl w:val="1"/>
          <w:numId w:val="5"/>
        </w:numPr>
        <w:ind w:right="-23"/>
        <w:contextualSpacing w:val="0"/>
      </w:pPr>
      <w:r>
        <w:t>Corrosion resistance</w:t>
      </w:r>
    </w:p>
    <w:p w14:paraId="42FEC151" w14:textId="77777777" w:rsidR="0043135D" w:rsidRDefault="0043135D" w:rsidP="0043135D">
      <w:pPr>
        <w:pStyle w:val="ListParagraph"/>
        <w:widowControl w:val="0"/>
        <w:numPr>
          <w:ilvl w:val="1"/>
          <w:numId w:val="5"/>
        </w:numPr>
        <w:ind w:right="-23"/>
        <w:contextualSpacing w:val="0"/>
      </w:pPr>
      <w:r>
        <w:t>Maximum operating temperature</w:t>
      </w:r>
    </w:p>
    <w:p w14:paraId="424B0A15" w14:textId="77777777" w:rsidR="0043135D" w:rsidRDefault="0043135D" w:rsidP="0043135D">
      <w:pPr>
        <w:pStyle w:val="ListParagraph"/>
        <w:widowControl w:val="0"/>
        <w:numPr>
          <w:ilvl w:val="1"/>
          <w:numId w:val="5"/>
        </w:numPr>
        <w:ind w:right="-23"/>
        <w:contextualSpacing w:val="0"/>
      </w:pPr>
      <w:r>
        <w:t>Manufacturability</w:t>
      </w:r>
    </w:p>
    <w:p w14:paraId="53CE904F" w14:textId="77777777" w:rsidR="0043135D" w:rsidRDefault="0043135D" w:rsidP="0043135D">
      <w:pPr>
        <w:pStyle w:val="ListParagraph"/>
        <w:widowControl w:val="0"/>
        <w:numPr>
          <w:ilvl w:val="1"/>
          <w:numId w:val="5"/>
        </w:numPr>
        <w:ind w:right="-23"/>
        <w:contextualSpacing w:val="0"/>
      </w:pPr>
      <w:r>
        <w:t>Material cost</w:t>
      </w:r>
    </w:p>
    <w:p w14:paraId="368307E2" w14:textId="5AA04C5B" w:rsidR="0043135D" w:rsidRDefault="0043135D" w:rsidP="0043135D">
      <w:pPr>
        <w:pStyle w:val="ListParagraph"/>
        <w:widowControl w:val="0"/>
        <w:numPr>
          <w:ilvl w:val="0"/>
          <w:numId w:val="5"/>
        </w:numPr>
        <w:ind w:left="360" w:right="-23"/>
        <w:contextualSpacing w:val="0"/>
      </w:pPr>
      <w:r>
        <w:t>Heat transfer performance analysis using analytical methods and/or simplified FEA</w:t>
      </w:r>
    </w:p>
    <w:p w14:paraId="5BD23321" w14:textId="3E2AAADA" w:rsidR="0043135D" w:rsidRDefault="0043135D" w:rsidP="0043135D">
      <w:pPr>
        <w:pStyle w:val="ListParagraph"/>
        <w:widowControl w:val="0"/>
        <w:numPr>
          <w:ilvl w:val="0"/>
          <w:numId w:val="5"/>
        </w:numPr>
        <w:ind w:left="360" w:right="-23"/>
        <w:contextualSpacing w:val="0"/>
      </w:pPr>
      <w:r>
        <w:t>Basic economic assessment including cost–performance comparison</w:t>
      </w:r>
    </w:p>
    <w:p w14:paraId="2A006483" w14:textId="29508BC4" w:rsidR="0043135D" w:rsidRDefault="0043135D" w:rsidP="0043135D">
      <w:pPr>
        <w:pStyle w:val="ListParagraph"/>
        <w:widowControl w:val="0"/>
        <w:numPr>
          <w:ilvl w:val="0"/>
          <w:numId w:val="5"/>
        </w:numPr>
        <w:ind w:left="360" w:right="-23"/>
        <w:contextualSpacing w:val="0"/>
      </w:pPr>
      <w:r>
        <w:t>Engineering recommendation and final technical report</w:t>
      </w:r>
    </w:p>
    <w:p w14:paraId="1E218E69" w14:textId="77777777" w:rsidR="00C72ACD" w:rsidRDefault="00C72ACD">
      <w:pPr>
        <w:widowControl w:val="0"/>
        <w:spacing w:before="15" w:line="260" w:lineRule="exact"/>
        <w:rPr>
          <w:sz w:val="26"/>
          <w:szCs w:val="26"/>
        </w:rPr>
      </w:pPr>
    </w:p>
    <w:p w14:paraId="086109BF" w14:textId="77777777" w:rsidR="00C72ACD" w:rsidRDefault="00000000">
      <w:pPr>
        <w:widowControl w:val="0"/>
        <w:ind w:right="-20"/>
        <w:rPr>
          <w:b/>
          <w:bCs/>
        </w:rPr>
      </w:pPr>
      <w:r>
        <w:rPr>
          <w:b/>
          <w:bCs/>
        </w:rPr>
        <w:t>Required Qualifications and Skills:</w:t>
      </w:r>
    </w:p>
    <w:p w14:paraId="7F659332" w14:textId="77777777" w:rsidR="0043135D" w:rsidRDefault="0043135D" w:rsidP="0043135D">
      <w:pPr>
        <w:pStyle w:val="ListParagraph"/>
        <w:widowControl w:val="0"/>
        <w:numPr>
          <w:ilvl w:val="0"/>
          <w:numId w:val="5"/>
        </w:numPr>
        <w:ind w:left="360" w:right="-23"/>
        <w:contextualSpacing w:val="0"/>
      </w:pPr>
      <w:r>
        <w:t>Fundamental knowledge of heat transfer and thermodynamics</w:t>
      </w:r>
    </w:p>
    <w:p w14:paraId="2AB0D9B1" w14:textId="77777777" w:rsidR="0043135D" w:rsidRDefault="0043135D" w:rsidP="0043135D">
      <w:pPr>
        <w:pStyle w:val="ListParagraph"/>
        <w:widowControl w:val="0"/>
        <w:numPr>
          <w:ilvl w:val="0"/>
          <w:numId w:val="5"/>
        </w:numPr>
        <w:ind w:left="360" w:right="-23"/>
        <w:contextualSpacing w:val="0"/>
      </w:pPr>
      <w:r>
        <w:t>Basic understanding of materials science and corrosion mechanisms</w:t>
      </w:r>
    </w:p>
    <w:p w14:paraId="49FD96CA" w14:textId="77777777" w:rsidR="0043135D" w:rsidRDefault="0043135D" w:rsidP="0043135D">
      <w:pPr>
        <w:pStyle w:val="ListParagraph"/>
        <w:widowControl w:val="0"/>
        <w:numPr>
          <w:ilvl w:val="0"/>
          <w:numId w:val="5"/>
        </w:numPr>
        <w:ind w:left="360" w:right="-23"/>
        <w:contextualSpacing w:val="0"/>
      </w:pPr>
      <w:r>
        <w:t>Familiarity with engineering calculations and data interpretation</w:t>
      </w:r>
    </w:p>
    <w:p w14:paraId="18DF34A4" w14:textId="77777777" w:rsidR="0043135D" w:rsidRDefault="0043135D" w:rsidP="0043135D">
      <w:pPr>
        <w:pStyle w:val="ListParagraph"/>
        <w:widowControl w:val="0"/>
        <w:numPr>
          <w:ilvl w:val="0"/>
          <w:numId w:val="5"/>
        </w:numPr>
        <w:ind w:left="360" w:right="-23"/>
        <w:contextualSpacing w:val="0"/>
      </w:pPr>
      <w:r>
        <w:t>Experience with numerical tools (MATLAB, Excel, or FEA software) is an advantage</w:t>
      </w:r>
    </w:p>
    <w:p w14:paraId="62EE0D44" w14:textId="2098DDCA" w:rsidR="00C72ACD" w:rsidRDefault="0043135D" w:rsidP="0043135D">
      <w:pPr>
        <w:pStyle w:val="ListParagraph"/>
        <w:widowControl w:val="0"/>
        <w:numPr>
          <w:ilvl w:val="0"/>
          <w:numId w:val="5"/>
        </w:numPr>
        <w:ind w:left="360" w:right="-23"/>
        <w:contextualSpacing w:val="0"/>
      </w:pPr>
      <w:r>
        <w:t>Ability to conduct literature research and prepare structured technical reports</w:t>
      </w:r>
    </w:p>
    <w:p w14:paraId="0109D44E" w14:textId="077F0A00" w:rsidR="00C72ACD" w:rsidRDefault="00000000">
      <w:pPr>
        <w:widowControl w:val="0"/>
        <w:ind w:right="-20"/>
        <w:rPr>
          <w:b/>
          <w:bCs/>
        </w:rPr>
      </w:pPr>
      <w:r>
        <w:rPr>
          <w:b/>
          <w:bCs/>
        </w:rPr>
        <w:t>Related UN Sustainable Development Goals:</w:t>
      </w:r>
    </w:p>
    <w:p w14:paraId="38CCF0D9" w14:textId="256DEB83" w:rsidR="0043135D" w:rsidRDefault="0043135D" w:rsidP="00777BC6">
      <w:pPr>
        <w:widowControl w:val="0"/>
        <w:numPr>
          <w:ilvl w:val="0"/>
          <w:numId w:val="3"/>
        </w:numPr>
      </w:pPr>
      <w:r>
        <w:t>No. 7 – Affordable and Clean Energy</w:t>
      </w:r>
    </w:p>
    <w:p w14:paraId="2940993D" w14:textId="77777777" w:rsidR="0043135D" w:rsidRDefault="0043135D" w:rsidP="0043135D">
      <w:pPr>
        <w:widowControl w:val="0"/>
        <w:numPr>
          <w:ilvl w:val="0"/>
          <w:numId w:val="3"/>
        </w:numPr>
      </w:pPr>
      <w:r>
        <w:t>No. 9 – Industry, Innovation and Infrastructure</w:t>
      </w:r>
    </w:p>
    <w:p w14:paraId="71226975" w14:textId="491FED98" w:rsidR="00C72ACD" w:rsidRDefault="0043135D" w:rsidP="0043135D">
      <w:pPr>
        <w:widowControl w:val="0"/>
        <w:numPr>
          <w:ilvl w:val="0"/>
          <w:numId w:val="3"/>
        </w:numPr>
      </w:pPr>
      <w:r>
        <w:t>No. 12 – Responsible Consumption and Production</w:t>
      </w:r>
    </w:p>
    <w:p w14:paraId="07AD5336" w14:textId="77777777" w:rsidR="00C72ACD" w:rsidRDefault="00000000">
      <w:pPr>
        <w:widowControl w:val="0"/>
        <w:spacing w:line="293" w:lineRule="exact"/>
        <w:ind w:right="-20"/>
        <w:rPr>
          <w:color w:val="0070C0"/>
        </w:rPr>
      </w:pPr>
      <w:r>
        <w:rPr>
          <w:b/>
          <w:color w:val="0070C0"/>
        </w:rPr>
        <w:t>Difficulty</w:t>
      </w:r>
      <w:r>
        <w:rPr>
          <w:color w:val="0070C0"/>
        </w:rPr>
        <w:t>:</w:t>
      </w:r>
      <w:r>
        <w:rPr>
          <w:color w:val="0070C0"/>
        </w:rPr>
        <w:tab/>
      </w:r>
      <w:r>
        <w:rPr>
          <w:color w:val="0070C0"/>
        </w:rPr>
        <w:tab/>
        <w:t>high (X)</w:t>
      </w:r>
      <w:r>
        <w:rPr>
          <w:color w:val="0070C0"/>
        </w:rPr>
        <w:tab/>
        <w:t>medium ( )</w:t>
      </w:r>
      <w:r>
        <w:rPr>
          <w:color w:val="0070C0"/>
        </w:rPr>
        <w:tab/>
      </w:r>
      <w:r>
        <w:rPr>
          <w:color w:val="0070C0"/>
        </w:rPr>
        <w:tab/>
        <w:t>low ( )</w:t>
      </w:r>
    </w:p>
    <w:p w14:paraId="1F5DF4CB" w14:textId="77777777" w:rsidR="00C72ACD" w:rsidRDefault="00C72ACD">
      <w:pPr>
        <w:widowControl w:val="0"/>
        <w:spacing w:line="200" w:lineRule="exact"/>
        <w:rPr>
          <w:color w:val="0070C0"/>
          <w:sz w:val="20"/>
          <w:szCs w:val="20"/>
        </w:rPr>
      </w:pPr>
    </w:p>
    <w:p w14:paraId="7284CFBB" w14:textId="77777777" w:rsidR="00C72ACD" w:rsidRDefault="00000000">
      <w:pPr>
        <w:widowControl w:val="0"/>
        <w:spacing w:line="293" w:lineRule="exact"/>
        <w:ind w:right="-20"/>
        <w:rPr>
          <w:color w:val="0070C0"/>
        </w:rPr>
      </w:pPr>
      <w:r>
        <w:rPr>
          <w:b/>
          <w:color w:val="0070C0"/>
        </w:rPr>
        <w:t>Time commitment</w:t>
      </w:r>
      <w:r>
        <w:rPr>
          <w:color w:val="0070C0"/>
        </w:rPr>
        <w:t xml:space="preserve">: </w:t>
      </w:r>
      <w:r>
        <w:rPr>
          <w:color w:val="0070C0"/>
        </w:rPr>
        <w:tab/>
        <w:t>high (X)</w:t>
      </w:r>
      <w:r>
        <w:rPr>
          <w:color w:val="0070C0"/>
        </w:rPr>
        <w:tab/>
        <w:t>medium ( )</w:t>
      </w:r>
      <w:r>
        <w:rPr>
          <w:color w:val="0070C0"/>
        </w:rPr>
        <w:tab/>
      </w:r>
      <w:r>
        <w:rPr>
          <w:color w:val="0070C0"/>
        </w:rPr>
        <w:tab/>
        <w:t>low ( )</w:t>
      </w:r>
    </w:p>
    <w:p w14:paraId="54C25411" w14:textId="191B99E6" w:rsidR="00C72ACD" w:rsidRDefault="00000000" w:rsidP="00EF54E9">
      <w:pPr>
        <w:widowControl w:val="0"/>
        <w:spacing w:line="293" w:lineRule="exact"/>
        <w:ind w:right="-20"/>
      </w:pPr>
      <w:r>
        <w:rPr>
          <w:color w:val="FF0000"/>
        </w:rPr>
        <w:t>Estimated expense:</w:t>
      </w:r>
      <w:r>
        <w:rPr>
          <w:color w:val="FF0000"/>
        </w:rPr>
        <w:tab/>
        <w:t>0 TL</w:t>
      </w:r>
      <w:r>
        <w:t>1</w:t>
      </w:r>
    </w:p>
    <w:sectPr w:rsidR="00C72ACD" w:rsidSect="007C43DF">
      <w:pgSz w:w="11906" w:h="16838"/>
      <w:pgMar w:top="480" w:right="707" w:bottom="280" w:left="851" w:header="0" w:footer="0" w:gutter="0"/>
      <w:cols w:space="720"/>
      <w:formProt w:val="0"/>
      <w:docGrid w:linePitch="10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Calibri"/>
    <w:charset w:val="01"/>
    <w:family w:val="auto"/>
    <w:pitch w:val="variable"/>
  </w:font>
  <w:font w:name="Batang">
    <w:altName w:val="바탕"/>
    <w:panose1 w:val="02030600000101010101"/>
    <w:charset w:val="81"/>
    <w:family w:val="roman"/>
    <w:pitch w:val="variable"/>
    <w:sig w:usb0="B00002AF" w:usb1="69D77CFB" w:usb2="00000030" w:usb3="00000000" w:csb0="0008009F" w:csb1="00000000"/>
  </w:font>
  <w:font w:name="Nimbus Sans">
    <w:charset w:val="01"/>
    <w:family w:val="roman"/>
    <w:pitch w:val="variable"/>
  </w:font>
  <w:font w:name="FreeSans">
    <w:panose1 w:val="00000000000000000000"/>
    <w:charset w:val="00"/>
    <w:family w:val="roman"/>
    <w:notTrueType/>
    <w:pitch w:val="default"/>
  </w:font>
  <w:font w:name="Franklin Gothic Demi">
    <w:panose1 w:val="020B0703020102020204"/>
    <w:charset w:val="00"/>
    <w:family w:val="swiss"/>
    <w:pitch w:val="variable"/>
    <w:sig w:usb0="00000287" w:usb1="00000000" w:usb2="00000000" w:usb3="00000000" w:csb0="0000009F" w:csb1="00000000"/>
  </w:font>
  <w:font w:name="Dotum">
    <w:altName w:val="돋움"/>
    <w:panose1 w:val="020B0600000101010101"/>
    <w:charset w:val="81"/>
    <w:family w:val="swiss"/>
    <w:pitch w:val="variable"/>
    <w:sig w:usb0="B00002AF" w:usb1="69D77CFB" w:usb2="00000030" w:usb3="00000000" w:csb0="000800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8A1275"/>
    <w:multiLevelType w:val="multilevel"/>
    <w:tmpl w:val="6D2485E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61206AE"/>
    <w:multiLevelType w:val="multilevel"/>
    <w:tmpl w:val="02DC021A"/>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15:restartNumberingAfterBreak="0">
    <w:nsid w:val="5CB66BF2"/>
    <w:multiLevelType w:val="multilevel"/>
    <w:tmpl w:val="CE02E0F0"/>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3" w15:restartNumberingAfterBreak="0">
    <w:nsid w:val="66CF6F73"/>
    <w:multiLevelType w:val="multilevel"/>
    <w:tmpl w:val="A7FACB3C"/>
    <w:lvl w:ilvl="0">
      <w:start w:val="1"/>
      <w:numFmt w:val="bullet"/>
      <w:lvlText w:val=""/>
      <w:lvlJc w:val="left"/>
      <w:pPr>
        <w:tabs>
          <w:tab w:val="num" w:pos="720"/>
        </w:tabs>
        <w:ind w:left="720" w:hanging="360"/>
      </w:pPr>
      <w:rPr>
        <w:rFonts w:ascii="Symbol" w:hAnsi="Symbol" w:cs="Symbol" w:hint="default"/>
        <w:color w:val="auto"/>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cs="Wingdings" w:hint="default"/>
      </w:rPr>
    </w:lvl>
    <w:lvl w:ilvl="3">
      <w:start w:val="1"/>
      <w:numFmt w:val="bullet"/>
      <w:lvlText w:val=""/>
      <w:lvlJc w:val="left"/>
      <w:pPr>
        <w:tabs>
          <w:tab w:val="num" w:pos="3240"/>
        </w:tabs>
        <w:ind w:left="3240" w:hanging="360"/>
      </w:pPr>
      <w:rPr>
        <w:rFonts w:ascii="Symbol" w:hAnsi="Symbol" w:cs="Symbol"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Wingdings" w:hAnsi="Wingdings" w:cs="Wingdings" w:hint="default"/>
      </w:rPr>
    </w:lvl>
    <w:lvl w:ilvl="6">
      <w:start w:val="1"/>
      <w:numFmt w:val="bullet"/>
      <w:lvlText w:val=""/>
      <w:lvlJc w:val="left"/>
      <w:pPr>
        <w:tabs>
          <w:tab w:val="num" w:pos="5400"/>
        </w:tabs>
        <w:ind w:left="5400" w:hanging="360"/>
      </w:pPr>
      <w:rPr>
        <w:rFonts w:ascii="Symbol" w:hAnsi="Symbol" w:cs="Symbol"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Wingdings" w:hAnsi="Wingdings" w:cs="Wingdings" w:hint="default"/>
      </w:rPr>
    </w:lvl>
  </w:abstractNum>
  <w:abstractNum w:abstractNumId="4" w15:restartNumberingAfterBreak="0">
    <w:nsid w:val="6E876DE3"/>
    <w:multiLevelType w:val="hybridMultilevel"/>
    <w:tmpl w:val="C6566F9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201434603">
    <w:abstractNumId w:val="3"/>
  </w:num>
  <w:num w:numId="2" w16cid:durableId="1271625076">
    <w:abstractNumId w:val="1"/>
  </w:num>
  <w:num w:numId="3" w16cid:durableId="1883396755">
    <w:abstractNumId w:val="2"/>
  </w:num>
  <w:num w:numId="4" w16cid:durableId="1275403770">
    <w:abstractNumId w:val="0"/>
  </w:num>
  <w:num w:numId="5" w16cid:durableId="2938038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defaultTabStop w:val="720"/>
  <w:autoHyphenation/>
  <w:doNotHyphenateCaps/>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De0MDQwMDMwtjCyMDBT0lEKTi0uzszPAykwrAUABpVzRywAAAA="/>
  </w:docVars>
  <w:rsids>
    <w:rsidRoot w:val="00C72ACD"/>
    <w:rsid w:val="00020A0B"/>
    <w:rsid w:val="0020740E"/>
    <w:rsid w:val="00357341"/>
    <w:rsid w:val="003A27A0"/>
    <w:rsid w:val="00410F6B"/>
    <w:rsid w:val="0043135D"/>
    <w:rsid w:val="00745F0D"/>
    <w:rsid w:val="007C43DF"/>
    <w:rsid w:val="00A40373"/>
    <w:rsid w:val="00B0378B"/>
    <w:rsid w:val="00C72ACD"/>
    <w:rsid w:val="00CE6E5F"/>
    <w:rsid w:val="00D5505C"/>
    <w:rsid w:val="00EF54E9"/>
    <w:rsid w:val="00F34575"/>
  </w:rsids>
  <m:mathPr>
    <m:mathFont m:val="Cambria Math"/>
    <m:brkBin m:val="before"/>
    <m:brkBinSub m:val="--"/>
    <m:smallFrac m:val="0"/>
    <m:dispDef/>
    <m:lMargin m:val="0"/>
    <m:rMargin m:val="0"/>
    <m:defJc m:val="centerGroup"/>
    <m:wrapIndent m:val="1440"/>
    <m:intLim m:val="subSup"/>
    <m:naryLim m:val="undOvr"/>
  </m:mathPr>
  <w:themeFontLang w:val="en-US" w:eastAsia="ko-KR"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CEF126"/>
  <w15:docId w15:val="{A43F2820-3CD9-4D13-B32A-9C95030FDB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Batang" w:hAnsi="Times New Roman" w:cs="Times New Roman"/>
        <w:sz w:val="22"/>
        <w:szCs w:val="22"/>
        <w:lang w:val="en-US" w:eastAsia="ko-KR"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ullets">
    <w:name w:val="Bullets"/>
    <w:qFormat/>
    <w:rPr>
      <w:rFonts w:ascii="OpenSymbol" w:eastAsia="OpenSymbol" w:hAnsi="OpenSymbol" w:cs="OpenSymbol"/>
    </w:rPr>
  </w:style>
  <w:style w:type="paragraph" w:customStyle="1" w:styleId="Heading">
    <w:name w:val="Heading"/>
    <w:basedOn w:val="Normal"/>
    <w:next w:val="BodyText"/>
    <w:qFormat/>
    <w:pPr>
      <w:keepNext/>
      <w:spacing w:before="240" w:after="120"/>
    </w:pPr>
    <w:rPr>
      <w:rFonts w:ascii="Nimbus Sans" w:eastAsia="Nimbus Sans" w:hAnsi="Nimbus Sans" w:cs="FreeSans"/>
      <w:sz w:val="28"/>
      <w:szCs w:val="28"/>
    </w:rPr>
  </w:style>
  <w:style w:type="paragraph" w:styleId="BodyText">
    <w:name w:val="Body Text"/>
    <w:basedOn w:val="Normal"/>
    <w:pPr>
      <w:spacing w:after="140" w:line="276" w:lineRule="auto"/>
    </w:pPr>
  </w:style>
  <w:style w:type="paragraph" w:styleId="List">
    <w:name w:val="List"/>
    <w:basedOn w:val="BodyText"/>
    <w:rPr>
      <w:rFonts w:cs="FreeSans"/>
    </w:rPr>
  </w:style>
  <w:style w:type="paragraph" w:styleId="Caption">
    <w:name w:val="caption"/>
    <w:basedOn w:val="Normal"/>
    <w:qFormat/>
    <w:pPr>
      <w:suppressLineNumbers/>
      <w:spacing w:before="120" w:after="120"/>
    </w:pPr>
    <w:rPr>
      <w:rFonts w:cs="FreeSans"/>
      <w:i/>
      <w:iCs/>
    </w:rPr>
  </w:style>
  <w:style w:type="paragraph" w:customStyle="1" w:styleId="Index">
    <w:name w:val="Index"/>
    <w:basedOn w:val="Normal"/>
    <w:qFormat/>
    <w:pPr>
      <w:suppressLineNumbers/>
    </w:pPr>
    <w:rPr>
      <w:rFonts w:cs="FreeSans"/>
    </w:rPr>
  </w:style>
  <w:style w:type="paragraph" w:styleId="ListParagraph">
    <w:name w:val="List Paragraph"/>
    <w:basedOn w:val="Normal"/>
    <w:uiPriority w:val="34"/>
    <w:qFormat/>
    <w:rsid w:val="00A17F44"/>
    <w:pPr>
      <w:ind w:left="720"/>
      <w:contextualSpacing/>
    </w:pPr>
  </w:style>
  <w:style w:type="paragraph" w:styleId="BlockText">
    <w:name w:val="Block Text"/>
    <w:basedOn w:val="Normal"/>
    <w:semiHidden/>
    <w:unhideWhenUsed/>
    <w:qFormat/>
    <w:rsid w:val="00500A86"/>
    <w:pPr>
      <w:spacing w:before="120"/>
      <w:ind w:left="360" w:right="1524"/>
      <w:jc w:val="both"/>
    </w:pPr>
    <w:rPr>
      <w:rFonts w:eastAsia="Times New Roman"/>
      <w:lang w:eastAsia="ar-SA"/>
    </w:rPr>
  </w:style>
  <w:style w:type="paragraph" w:customStyle="1" w:styleId="FrameContents">
    <w:name w:val="Frame Contents"/>
    <w:basedOn w:val="Normal"/>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1606472">
      <w:bodyDiv w:val="1"/>
      <w:marLeft w:val="0"/>
      <w:marRight w:val="0"/>
      <w:marTop w:val="0"/>
      <w:marBottom w:val="0"/>
      <w:divBdr>
        <w:top w:val="none" w:sz="0" w:space="0" w:color="auto"/>
        <w:left w:val="none" w:sz="0" w:space="0" w:color="auto"/>
        <w:bottom w:val="none" w:sz="0" w:space="0" w:color="auto"/>
        <w:right w:val="none" w:sz="0" w:space="0" w:color="auto"/>
      </w:divBdr>
    </w:div>
    <w:div w:id="518466740">
      <w:bodyDiv w:val="1"/>
      <w:marLeft w:val="0"/>
      <w:marRight w:val="0"/>
      <w:marTop w:val="0"/>
      <w:marBottom w:val="0"/>
      <w:divBdr>
        <w:top w:val="none" w:sz="0" w:space="0" w:color="auto"/>
        <w:left w:val="none" w:sz="0" w:space="0" w:color="auto"/>
        <w:bottom w:val="none" w:sz="0" w:space="0" w:color="auto"/>
        <w:right w:val="none" w:sz="0" w:space="0" w:color="auto"/>
      </w:divBdr>
    </w:div>
    <w:div w:id="670715061">
      <w:bodyDiv w:val="1"/>
      <w:marLeft w:val="0"/>
      <w:marRight w:val="0"/>
      <w:marTop w:val="0"/>
      <w:marBottom w:val="0"/>
      <w:divBdr>
        <w:top w:val="none" w:sz="0" w:space="0" w:color="auto"/>
        <w:left w:val="none" w:sz="0" w:space="0" w:color="auto"/>
        <w:bottom w:val="none" w:sz="0" w:space="0" w:color="auto"/>
        <w:right w:val="none" w:sz="0" w:space="0" w:color="auto"/>
      </w:divBdr>
    </w:div>
    <w:div w:id="1109395410">
      <w:bodyDiv w:val="1"/>
      <w:marLeft w:val="0"/>
      <w:marRight w:val="0"/>
      <w:marTop w:val="0"/>
      <w:marBottom w:val="0"/>
      <w:divBdr>
        <w:top w:val="none" w:sz="0" w:space="0" w:color="auto"/>
        <w:left w:val="none" w:sz="0" w:space="0" w:color="auto"/>
        <w:bottom w:val="none" w:sz="0" w:space="0" w:color="auto"/>
        <w:right w:val="none" w:sz="0" w:space="0" w:color="auto"/>
      </w:divBdr>
    </w:div>
    <w:div w:id="1715155964">
      <w:bodyDiv w:val="1"/>
      <w:marLeft w:val="0"/>
      <w:marRight w:val="0"/>
      <w:marTop w:val="0"/>
      <w:marBottom w:val="0"/>
      <w:divBdr>
        <w:top w:val="none" w:sz="0" w:space="0" w:color="auto"/>
        <w:left w:val="none" w:sz="0" w:space="0" w:color="auto"/>
        <w:bottom w:val="none" w:sz="0" w:space="0" w:color="auto"/>
        <w:right w:val="none" w:sz="0" w:space="0" w:color="auto"/>
      </w:divBdr>
    </w:div>
    <w:div w:id="1913274134">
      <w:bodyDiv w:val="1"/>
      <w:marLeft w:val="0"/>
      <w:marRight w:val="0"/>
      <w:marTop w:val="0"/>
      <w:marBottom w:val="0"/>
      <w:divBdr>
        <w:top w:val="none" w:sz="0" w:space="0" w:color="auto"/>
        <w:left w:val="none" w:sz="0" w:space="0" w:color="auto"/>
        <w:bottom w:val="none" w:sz="0" w:space="0" w:color="auto"/>
        <w:right w:val="none" w:sz="0" w:space="0" w:color="auto"/>
      </w:divBdr>
    </w:div>
    <w:div w:id="191786308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413</Words>
  <Characters>2359</Characters>
  <Application>Microsoft Office Word</Application>
  <DocSecurity>0</DocSecurity>
  <Lines>19</Lines>
  <Paragraphs>5</Paragraphs>
  <ScaleCrop>false</ScaleCrop>
  <Company>personal</Company>
  <LinksUpToDate>false</LinksUpToDate>
  <CharactersWithSpaces>2767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HOVSTA</dc:title>
  <dc:subject/>
  <dc:creator>MehmetAkgun</dc:creator>
  <dc:description/>
  <cp:lastModifiedBy>Onur Namli</cp:lastModifiedBy>
  <cp:revision>4</cp:revision>
  <dcterms:created xsi:type="dcterms:W3CDTF">2026-02-09T10:45:00Z</dcterms:created>
  <dcterms:modified xsi:type="dcterms:W3CDTF">2026-02-09T16:19:00Z</dcterms:modified>
  <dc:language>en-US</dc:language>
</cp:coreProperties>
</file>